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</w:rPr>
      </w:pPr>
      <w:bookmarkStart w:id="0" w:name="_GoBack"/>
      <w:r>
        <w:rPr>
          <w:rFonts w:hint="default" w:ascii="Times New Roman" w:hAnsi="Times New Roman" w:eastAsia="方正小标宋_GBK" w:cs="Times New Roman"/>
          <w:sz w:val="44"/>
          <w:szCs w:val="44"/>
        </w:rPr>
        <w:t>空气波压力循环治疗仪技术参数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一、5.7英寸液晶触摸显示屏，显示直观，操作简便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二、8种空气波充气模式，可根据患者病情选择不同的治疗模式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三、可同时连接2个4腔的治疗气囊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四、空气波压强在5-25kPa范围内连续可调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五、内置两通道神经肌肉电刺激，可起到肌肉泵作用，加强治疗效果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六、F1和F2两种电刺激模式；F1肌肉泵模式，F2锻炼骨骼肌模式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七、空气波和电刺激可以单独使用，亦可以联动治疗，大大提高治疗安全性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八、治疗时间1min-99min连续可调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九、特制的充气气泵，噪声低，振动小，充气速度快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十、可提供上肢气囊、下肢气囊及等多种气囊选配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十一、叠加式四层结构气囊，无挤压死角造成的体液滞留，治疗更舒适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十二、封闭式气囊，气囊向内侧单向挤压，能达到更好治疗效果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十三、断电保护功能：仪器在突然断电时自动泄压保护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十四、每腔压力监测系统，实时显示当前压力</w:t>
      </w: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Q3OTllMjNlMzIxZTZkYjNhNmNhOTgzMTBhMjBjNjQifQ=="/>
    <w:docVar w:name="KSO_WPS_MARK_KEY" w:val="4ea56b6f-fa80-4782-9b3a-3b52298cf951"/>
  </w:docVars>
  <w:rsids>
    <w:rsidRoot w:val="00000000"/>
    <w:rsid w:val="54C23F5C"/>
    <w:rsid w:val="56915613"/>
    <w:rsid w:val="68DF0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269</Words>
  <Characters>326</Characters>
  <Lines>0</Lines>
  <Paragraphs>0</Paragraphs>
  <TotalTime>2</TotalTime>
  <ScaleCrop>false</ScaleCrop>
  <LinksUpToDate>false</LinksUpToDate>
  <CharactersWithSpaces>328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2024-03-05T06:28:00Z</dcterms:created>
  <dc:creator>Administrator</dc:creator>
  <cp:lastModifiedBy>木子李</cp:lastModifiedBy>
  <dcterms:modified xsi:type="dcterms:W3CDTF">2024-06-26T06:53:08Z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7CA9449687054AA4AB3A675DE3BD1320_12</vt:lpwstr>
  </property>
</Properties>
</file>