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E40AC">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弥勒市中医医院采购新媒体宣传</w:t>
      </w:r>
    </w:p>
    <w:p w14:paraId="7ED1C52E">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lang w:val="en-US" w:eastAsia="zh-CN"/>
        </w:rPr>
        <w:t>服务项目</w:t>
      </w:r>
      <w:r>
        <w:rPr>
          <w:rFonts w:hint="eastAsia" w:ascii="方正小标宋_GBK" w:hAnsi="方正小标宋_GBK" w:eastAsia="方正小标宋_GBK" w:cs="方正小标宋_GBK"/>
          <w:color w:val="auto"/>
          <w:sz w:val="44"/>
          <w:szCs w:val="44"/>
        </w:rPr>
        <w:t>评分表</w:t>
      </w:r>
    </w:p>
    <w:p w14:paraId="61776F9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color w:val="auto"/>
          <w:sz w:val="24"/>
          <w:szCs w:val="24"/>
          <w:lang w:eastAsia="zh-CN"/>
        </w:rPr>
      </w:pPr>
    </w:p>
    <w:tbl>
      <w:tblPr>
        <w:tblStyle w:val="3"/>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5524"/>
        <w:gridCol w:w="2125"/>
        <w:gridCol w:w="959"/>
      </w:tblGrid>
      <w:tr w14:paraId="4958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1311" w:type="dxa"/>
            <w:noWrap w:val="0"/>
            <w:vAlign w:val="center"/>
          </w:tcPr>
          <w:p w14:paraId="5F40289D">
            <w:pPr>
              <w:keepNext w:val="0"/>
              <w:keepLines w:val="0"/>
              <w:pageBreakBefore w:val="0"/>
              <w:kinsoku/>
              <w:wordWrap/>
              <w:overflowPunct w:val="0"/>
              <w:topLinePunct/>
              <w:autoSpaceDE/>
              <w:autoSpaceDN/>
              <w:bidi w:val="0"/>
              <w:spacing w:line="340" w:lineRule="exact"/>
              <w:jc w:val="center"/>
              <w:textAlignment w:val="auto"/>
              <w:rPr>
                <w:rFonts w:hint="eastAsia" w:ascii="方正黑体_GBK" w:hAnsi="方正黑体_GBK" w:eastAsia="方正黑体_GBK" w:cs="方正黑体_GBK"/>
                <w:bCs/>
                <w:color w:val="auto"/>
                <w:sz w:val="24"/>
                <w:szCs w:val="24"/>
                <w:lang w:eastAsia="zh-CN"/>
              </w:rPr>
            </w:pPr>
            <w:r>
              <w:rPr>
                <w:rFonts w:hint="eastAsia" w:ascii="方正黑体_GBK" w:hAnsi="方正黑体_GBK" w:eastAsia="方正黑体_GBK" w:cs="方正黑体_GBK"/>
                <w:bCs/>
                <w:color w:val="auto"/>
                <w:sz w:val="24"/>
                <w:szCs w:val="24"/>
                <w:lang w:eastAsia="zh-CN"/>
              </w:rPr>
              <w:t>评分内容</w:t>
            </w:r>
          </w:p>
        </w:tc>
        <w:tc>
          <w:tcPr>
            <w:tcW w:w="5524" w:type="dxa"/>
            <w:noWrap w:val="0"/>
            <w:vAlign w:val="center"/>
          </w:tcPr>
          <w:p w14:paraId="4D68CF14">
            <w:pPr>
              <w:keepNext w:val="0"/>
              <w:keepLines w:val="0"/>
              <w:pageBreakBefore w:val="0"/>
              <w:kinsoku/>
              <w:wordWrap/>
              <w:overflowPunct w:val="0"/>
              <w:topLinePunct/>
              <w:autoSpaceDE/>
              <w:autoSpaceDN/>
              <w:bidi w:val="0"/>
              <w:spacing w:line="340" w:lineRule="exact"/>
              <w:ind w:firstLine="360"/>
              <w:jc w:val="center"/>
              <w:textAlignment w:val="auto"/>
              <w:rPr>
                <w:rFonts w:hint="eastAsia" w:ascii="方正黑体_GBK" w:hAnsi="方正黑体_GBK" w:eastAsia="方正黑体_GBK" w:cs="方正黑体_GBK"/>
                <w:bCs/>
                <w:color w:val="auto"/>
                <w:sz w:val="24"/>
                <w:szCs w:val="24"/>
                <w:lang w:eastAsia="zh-CN"/>
              </w:rPr>
            </w:pPr>
            <w:r>
              <w:rPr>
                <w:rFonts w:hint="eastAsia" w:ascii="方正黑体_GBK" w:hAnsi="方正黑体_GBK" w:eastAsia="方正黑体_GBK" w:cs="方正黑体_GBK"/>
                <w:bCs/>
                <w:color w:val="auto"/>
                <w:sz w:val="24"/>
                <w:szCs w:val="24"/>
                <w:lang w:eastAsia="zh-CN"/>
              </w:rPr>
              <w:t>评分指标</w:t>
            </w:r>
          </w:p>
        </w:tc>
        <w:tc>
          <w:tcPr>
            <w:tcW w:w="2125" w:type="dxa"/>
            <w:noWrap w:val="0"/>
            <w:vAlign w:val="center"/>
          </w:tcPr>
          <w:p w14:paraId="0E252069">
            <w:pPr>
              <w:keepNext w:val="0"/>
              <w:keepLines w:val="0"/>
              <w:pageBreakBefore w:val="0"/>
              <w:widowControl/>
              <w:kinsoku/>
              <w:wordWrap/>
              <w:autoSpaceDE/>
              <w:autoSpaceDN/>
              <w:bidi w:val="0"/>
              <w:spacing w:line="340" w:lineRule="exact"/>
              <w:jc w:val="left"/>
              <w:textAlignment w:val="auto"/>
              <w:rPr>
                <w:rFonts w:hint="eastAsia" w:ascii="方正黑体_GBK" w:hAnsi="方正黑体_GBK" w:eastAsia="方正黑体_GBK" w:cs="方正黑体_GBK"/>
                <w:bCs/>
                <w:color w:val="auto"/>
                <w:sz w:val="24"/>
                <w:szCs w:val="24"/>
                <w:lang w:eastAsia="zh-CN"/>
              </w:rPr>
            </w:pPr>
            <w:r>
              <w:rPr>
                <w:rFonts w:hint="eastAsia" w:ascii="方正黑体_GBK" w:hAnsi="方正黑体_GBK" w:eastAsia="方正黑体_GBK" w:cs="方正黑体_GBK"/>
                <w:bCs/>
                <w:color w:val="auto"/>
                <w:sz w:val="24"/>
                <w:szCs w:val="24"/>
                <w:lang w:eastAsia="zh-CN"/>
              </w:rPr>
              <w:t>审阅资料</w:t>
            </w:r>
          </w:p>
        </w:tc>
        <w:tc>
          <w:tcPr>
            <w:tcW w:w="959" w:type="dxa"/>
            <w:noWrap w:val="0"/>
            <w:vAlign w:val="center"/>
          </w:tcPr>
          <w:p w14:paraId="01A39BD4">
            <w:pPr>
              <w:keepNext w:val="0"/>
              <w:keepLines w:val="0"/>
              <w:pageBreakBefore w:val="0"/>
              <w:kinsoku/>
              <w:wordWrap/>
              <w:overflowPunct w:val="0"/>
              <w:topLinePunct/>
              <w:autoSpaceDE/>
              <w:autoSpaceDN/>
              <w:bidi w:val="0"/>
              <w:spacing w:line="340" w:lineRule="exact"/>
              <w:jc w:val="center"/>
              <w:textAlignment w:val="auto"/>
              <w:rPr>
                <w:rFonts w:hint="eastAsia" w:ascii="方正黑体_GBK" w:hAnsi="方正黑体_GBK" w:eastAsia="方正黑体_GBK" w:cs="方正黑体_GBK"/>
                <w:bCs/>
                <w:color w:val="auto"/>
                <w:sz w:val="24"/>
                <w:szCs w:val="24"/>
                <w:lang w:val="en-US" w:eastAsia="zh-CN"/>
              </w:rPr>
            </w:pPr>
            <w:r>
              <w:rPr>
                <w:rFonts w:hint="eastAsia" w:ascii="方正黑体_GBK" w:hAnsi="方正黑体_GBK" w:eastAsia="方正黑体_GBK" w:cs="方正黑体_GBK"/>
                <w:bCs/>
                <w:color w:val="auto"/>
                <w:sz w:val="24"/>
                <w:szCs w:val="24"/>
                <w:lang w:eastAsia="zh-CN"/>
              </w:rPr>
              <w:t>得分</w:t>
            </w:r>
          </w:p>
        </w:tc>
      </w:tr>
      <w:tr w14:paraId="5726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2" w:hRule="atLeast"/>
          <w:jc w:val="center"/>
        </w:trPr>
        <w:tc>
          <w:tcPr>
            <w:tcW w:w="1311" w:type="dxa"/>
            <w:noWrap w:val="0"/>
            <w:vAlign w:val="center"/>
          </w:tcPr>
          <w:p w14:paraId="4A6F6041">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bCs/>
                <w:color w:val="auto"/>
                <w:sz w:val="24"/>
                <w:szCs w:val="24"/>
              </w:rPr>
            </w:pPr>
            <w:r>
              <w:rPr>
                <w:rFonts w:hint="default" w:ascii="Times New Roman" w:hAnsi="Times New Roman" w:eastAsia="方正黑体_GBK" w:cs="Times New Roman"/>
                <w:bCs/>
                <w:color w:val="auto"/>
                <w:sz w:val="24"/>
                <w:szCs w:val="24"/>
                <w:lang w:eastAsia="zh-CN"/>
              </w:rPr>
              <w:t>项目</w:t>
            </w:r>
            <w:r>
              <w:rPr>
                <w:rFonts w:hint="default" w:ascii="Times New Roman" w:hAnsi="Times New Roman" w:eastAsia="方正黑体_GBK" w:cs="Times New Roman"/>
                <w:bCs/>
                <w:color w:val="auto"/>
                <w:sz w:val="24"/>
                <w:szCs w:val="24"/>
              </w:rPr>
              <w:t>价格</w:t>
            </w:r>
          </w:p>
          <w:p w14:paraId="30CCE575">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bCs/>
                <w:color w:val="auto"/>
                <w:sz w:val="24"/>
                <w:szCs w:val="24"/>
                <w:lang w:eastAsia="zh-CN"/>
              </w:rPr>
            </w:pPr>
            <w:r>
              <w:rPr>
                <w:rFonts w:hint="default" w:ascii="Times New Roman" w:hAnsi="Times New Roman" w:eastAsia="方正黑体_GBK" w:cs="Times New Roman"/>
                <w:bCs/>
                <w:color w:val="auto"/>
                <w:sz w:val="24"/>
                <w:szCs w:val="24"/>
                <w:lang w:eastAsia="zh-CN"/>
              </w:rPr>
              <w:t>（</w:t>
            </w:r>
            <w:r>
              <w:rPr>
                <w:rFonts w:hint="eastAsia" w:ascii="Times New Roman" w:hAnsi="Times New Roman" w:eastAsia="方正黑体_GBK" w:cs="Times New Roman"/>
                <w:bCs/>
                <w:color w:val="auto"/>
                <w:sz w:val="24"/>
                <w:szCs w:val="24"/>
                <w:lang w:val="en-US" w:eastAsia="zh-CN"/>
              </w:rPr>
              <w:t>2</w:t>
            </w:r>
            <w:r>
              <w:rPr>
                <w:rFonts w:hint="default" w:ascii="Times New Roman" w:hAnsi="Times New Roman" w:eastAsia="方正黑体_GBK" w:cs="Times New Roman"/>
                <w:bCs/>
                <w:color w:val="auto"/>
                <w:sz w:val="24"/>
                <w:szCs w:val="24"/>
                <w:lang w:val="en-US" w:eastAsia="zh-CN"/>
              </w:rPr>
              <w:t>0分</w:t>
            </w:r>
            <w:r>
              <w:rPr>
                <w:rFonts w:hint="default" w:ascii="Times New Roman" w:hAnsi="Times New Roman" w:eastAsia="方正黑体_GBK" w:cs="Times New Roman"/>
                <w:bCs/>
                <w:color w:val="auto"/>
                <w:sz w:val="24"/>
                <w:szCs w:val="24"/>
                <w:lang w:eastAsia="zh-CN"/>
              </w:rPr>
              <w:t>）</w:t>
            </w:r>
          </w:p>
        </w:tc>
        <w:tc>
          <w:tcPr>
            <w:tcW w:w="5524" w:type="dxa"/>
            <w:noWrap w:val="0"/>
            <w:vAlign w:val="center"/>
          </w:tcPr>
          <w:p w14:paraId="5712ED20">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4"/>
                <w:szCs w:val="24"/>
                <w:lang w:val="en-US" w:eastAsia="zh-CN"/>
              </w:rPr>
            </w:pPr>
            <w:r>
              <w:rPr>
                <w:rFonts w:hint="default" w:ascii="Times New Roman" w:hAnsi="Times New Roman" w:eastAsia="方正仿宋_GBK" w:cs="Times New Roman"/>
                <w:bCs/>
                <w:color w:val="auto"/>
                <w:sz w:val="22"/>
                <w:szCs w:val="22"/>
                <w:highlight w:val="none"/>
                <w:lang w:val="en-US" w:eastAsia="zh-CN"/>
              </w:rPr>
              <w:t>以最低价</w:t>
            </w:r>
            <w:r>
              <w:rPr>
                <w:rFonts w:hint="default" w:ascii="Times New Roman" w:hAnsi="Times New Roman" w:eastAsia="方正仿宋_GBK" w:cs="Times New Roman"/>
                <w:bCs/>
                <w:color w:val="auto"/>
                <w:sz w:val="22"/>
                <w:szCs w:val="22"/>
                <w:lang w:val="en-US" w:eastAsia="zh-CN"/>
              </w:rPr>
              <w:t>为第一名得</w:t>
            </w:r>
            <w:r>
              <w:rPr>
                <w:rFonts w:hint="eastAsia" w:ascii="Times New Roman" w:hAnsi="Times New Roman" w:eastAsia="方正仿宋_GBK" w:cs="Times New Roman"/>
                <w:bCs/>
                <w:color w:val="auto"/>
                <w:sz w:val="22"/>
                <w:szCs w:val="22"/>
                <w:lang w:val="en-US" w:eastAsia="zh-CN"/>
              </w:rPr>
              <w:t>20</w:t>
            </w:r>
            <w:r>
              <w:rPr>
                <w:rFonts w:hint="default" w:ascii="Times New Roman" w:hAnsi="Times New Roman" w:eastAsia="方正仿宋_GBK" w:cs="Times New Roman"/>
                <w:bCs/>
                <w:color w:val="auto"/>
                <w:sz w:val="22"/>
                <w:szCs w:val="22"/>
                <w:lang w:val="en-US" w:eastAsia="zh-CN"/>
              </w:rPr>
              <w:t>分，第一名报价占第二名报价的比例乘以</w:t>
            </w:r>
            <w:r>
              <w:rPr>
                <w:rFonts w:hint="eastAsia" w:ascii="Times New Roman" w:hAnsi="Times New Roman" w:eastAsia="方正仿宋_GBK" w:cs="Times New Roman"/>
                <w:bCs/>
                <w:color w:val="auto"/>
                <w:sz w:val="22"/>
                <w:szCs w:val="22"/>
                <w:lang w:val="en-US" w:eastAsia="zh-CN"/>
              </w:rPr>
              <w:t>20</w:t>
            </w:r>
            <w:r>
              <w:rPr>
                <w:rFonts w:hint="default" w:ascii="Times New Roman" w:hAnsi="Times New Roman" w:eastAsia="方正仿宋_GBK" w:cs="Times New Roman"/>
                <w:bCs/>
                <w:color w:val="auto"/>
                <w:sz w:val="22"/>
                <w:szCs w:val="22"/>
                <w:lang w:val="en-US" w:eastAsia="zh-CN"/>
              </w:rPr>
              <w:t>分为第二名得分，其他以此类推。</w:t>
            </w:r>
          </w:p>
        </w:tc>
        <w:tc>
          <w:tcPr>
            <w:tcW w:w="2125" w:type="dxa"/>
            <w:noWrap w:val="0"/>
            <w:vAlign w:val="center"/>
          </w:tcPr>
          <w:p w14:paraId="553F815E">
            <w:pPr>
              <w:spacing w:line="360" w:lineRule="exact"/>
              <w:jc w:val="both"/>
              <w:rPr>
                <w:rFonts w:hint="default" w:ascii="Times New Roman" w:hAnsi="Times New Roman" w:eastAsia="方正仿宋_GBK" w:cs="Times New Roman"/>
                <w:color w:val="auto"/>
                <w:sz w:val="24"/>
                <w:szCs w:val="24"/>
                <w:lang w:eastAsia="zh-CN"/>
              </w:rPr>
            </w:pPr>
            <w:r>
              <w:rPr>
                <w:rFonts w:hint="default" w:ascii="Times New Roman" w:hAnsi="Times New Roman" w:eastAsia="方正仿宋_GBK" w:cs="Times New Roman"/>
                <w:bCs/>
                <w:color w:val="auto"/>
                <w:sz w:val="22"/>
                <w:szCs w:val="22"/>
                <w:lang w:val="en-US" w:eastAsia="zh-CN"/>
              </w:rPr>
              <w:t>提供报价表</w:t>
            </w:r>
            <w:r>
              <w:rPr>
                <w:rFonts w:hint="eastAsia" w:ascii="Times New Roman" w:hAnsi="Times New Roman" w:eastAsia="方正仿宋_GBK" w:cs="Times New Roman"/>
                <w:bCs/>
                <w:color w:val="auto"/>
                <w:sz w:val="22"/>
                <w:szCs w:val="22"/>
                <w:lang w:val="en-US" w:eastAsia="zh-CN"/>
              </w:rPr>
              <w:t>（综合包干报价，含项目实施、人员出差、视频拍摄相关道具、税费等）</w:t>
            </w:r>
          </w:p>
        </w:tc>
        <w:tc>
          <w:tcPr>
            <w:tcW w:w="959" w:type="dxa"/>
            <w:noWrap w:val="0"/>
            <w:vAlign w:val="center"/>
          </w:tcPr>
          <w:p w14:paraId="01DD13CE">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仿宋_GBK" w:cs="Times New Roman"/>
                <w:bCs/>
                <w:color w:val="auto"/>
                <w:sz w:val="24"/>
                <w:szCs w:val="24"/>
              </w:rPr>
            </w:pPr>
          </w:p>
        </w:tc>
      </w:tr>
      <w:tr w14:paraId="4863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3" w:hRule="atLeast"/>
          <w:jc w:val="center"/>
        </w:trPr>
        <w:tc>
          <w:tcPr>
            <w:tcW w:w="1311" w:type="dxa"/>
            <w:noWrap w:val="0"/>
            <w:vAlign w:val="center"/>
          </w:tcPr>
          <w:p w14:paraId="26BB5B7E">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bCs/>
                <w:color w:val="auto"/>
                <w:sz w:val="24"/>
                <w:szCs w:val="24"/>
                <w:lang w:eastAsia="zh-CN"/>
              </w:rPr>
            </w:pPr>
            <w:r>
              <w:rPr>
                <w:rFonts w:hint="default" w:ascii="Times New Roman" w:hAnsi="Times New Roman" w:eastAsia="方正黑体_GBK" w:cs="Times New Roman"/>
                <w:bCs/>
                <w:color w:val="auto"/>
                <w:sz w:val="24"/>
                <w:szCs w:val="24"/>
                <w:lang w:eastAsia="zh-CN"/>
              </w:rPr>
              <w:t>服务能力</w:t>
            </w:r>
          </w:p>
          <w:p w14:paraId="47CAC095">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bCs/>
                <w:color w:val="auto"/>
                <w:sz w:val="24"/>
                <w:szCs w:val="24"/>
                <w:lang w:eastAsia="zh-CN"/>
              </w:rPr>
            </w:pPr>
            <w:r>
              <w:rPr>
                <w:rFonts w:hint="default" w:ascii="Times New Roman" w:hAnsi="Times New Roman" w:eastAsia="方正黑体_GBK" w:cs="Times New Roman"/>
                <w:bCs/>
                <w:color w:val="auto"/>
                <w:sz w:val="24"/>
                <w:szCs w:val="24"/>
                <w:lang w:eastAsia="zh-CN"/>
              </w:rPr>
              <w:t>（</w:t>
            </w:r>
            <w:r>
              <w:rPr>
                <w:rFonts w:hint="eastAsia" w:ascii="Times New Roman" w:hAnsi="Times New Roman" w:eastAsia="方正黑体_GBK" w:cs="Times New Roman"/>
                <w:bCs/>
                <w:color w:val="auto"/>
                <w:sz w:val="24"/>
                <w:szCs w:val="24"/>
                <w:lang w:val="en-US" w:eastAsia="zh-CN"/>
              </w:rPr>
              <w:t>6</w:t>
            </w:r>
            <w:r>
              <w:rPr>
                <w:rFonts w:hint="default" w:ascii="Times New Roman" w:hAnsi="Times New Roman" w:eastAsia="方正黑体_GBK" w:cs="Times New Roman"/>
                <w:bCs/>
                <w:color w:val="auto"/>
                <w:sz w:val="24"/>
                <w:szCs w:val="24"/>
                <w:lang w:val="en-US" w:eastAsia="zh-CN"/>
              </w:rPr>
              <w:t>0分</w:t>
            </w:r>
            <w:r>
              <w:rPr>
                <w:rFonts w:hint="default" w:ascii="Times New Roman" w:hAnsi="Times New Roman" w:eastAsia="方正黑体_GBK" w:cs="Times New Roman"/>
                <w:bCs/>
                <w:color w:val="auto"/>
                <w:sz w:val="24"/>
                <w:szCs w:val="24"/>
                <w:lang w:eastAsia="zh-CN"/>
              </w:rPr>
              <w:t>）</w:t>
            </w:r>
          </w:p>
        </w:tc>
        <w:tc>
          <w:tcPr>
            <w:tcW w:w="5524" w:type="dxa"/>
            <w:noWrap w:val="0"/>
            <w:vAlign w:val="center"/>
          </w:tcPr>
          <w:p w14:paraId="7D9C3535">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eastAsia" w:ascii="Times New Roman" w:hAnsi="Times New Roman" w:eastAsia="方正仿宋_GBK" w:cs="Times New Roman"/>
                <w:bCs/>
                <w:color w:val="auto"/>
                <w:sz w:val="22"/>
                <w:szCs w:val="22"/>
                <w:lang w:val="en-US" w:eastAsia="zh-CN"/>
              </w:rPr>
            </w:pPr>
            <w:r>
              <w:rPr>
                <w:rFonts w:hint="eastAsia" w:ascii="Times New Roman" w:hAnsi="Times New Roman" w:eastAsia="方正仿宋_GBK" w:cs="Times New Roman"/>
                <w:bCs/>
                <w:color w:val="auto"/>
                <w:sz w:val="22"/>
                <w:szCs w:val="22"/>
                <w:lang w:val="en-US" w:eastAsia="zh-CN"/>
              </w:rPr>
              <w:t>1.</w:t>
            </w:r>
            <w:r>
              <w:rPr>
                <w:rFonts w:hint="default" w:ascii="Times New Roman" w:hAnsi="Times New Roman" w:eastAsia="方正仿宋_GBK" w:cs="Times New Roman"/>
                <w:bCs/>
                <w:color w:val="auto"/>
                <w:sz w:val="22"/>
                <w:szCs w:val="22"/>
                <w:lang w:val="en-US" w:eastAsia="zh-CN"/>
              </w:rPr>
              <w:t>内容策划能力</w:t>
            </w:r>
            <w:r>
              <w:rPr>
                <w:rFonts w:hint="eastAsia" w:ascii="Times New Roman" w:hAnsi="Times New Roman" w:eastAsia="方正仿宋_GBK" w:cs="Times New Roman"/>
                <w:bCs/>
                <w:color w:val="auto"/>
                <w:sz w:val="22"/>
                <w:szCs w:val="22"/>
                <w:lang w:val="en-US" w:eastAsia="zh-CN"/>
              </w:rPr>
              <w:t>。策划方案是否符合实际，具有系统性、创意性、可行性、完整性。（15分）</w:t>
            </w:r>
          </w:p>
          <w:p w14:paraId="3ED5C2B4">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在“系统性、创意性、可行性、完整性”4个方面，每缺少1个方面，扣4分，每有1个方面存在不足扣2分，分值扣完为止。</w:t>
            </w:r>
          </w:p>
          <w:p w14:paraId="531DD7AB">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2.</w:t>
            </w:r>
            <w:r>
              <w:rPr>
                <w:rFonts w:hint="default" w:ascii="Times New Roman" w:hAnsi="Times New Roman" w:eastAsia="方正仿宋_GBK" w:cs="Times New Roman"/>
                <w:bCs/>
                <w:color w:val="auto"/>
                <w:sz w:val="22"/>
                <w:szCs w:val="22"/>
                <w:highlight w:val="none"/>
                <w:lang w:val="en-US" w:eastAsia="zh-CN"/>
              </w:rPr>
              <w:t>视频制作</w:t>
            </w:r>
            <w:r>
              <w:rPr>
                <w:rFonts w:hint="eastAsia" w:ascii="Times New Roman" w:hAnsi="Times New Roman" w:eastAsia="方正仿宋_GBK" w:cs="Times New Roman"/>
                <w:bCs/>
                <w:color w:val="auto"/>
                <w:sz w:val="22"/>
                <w:szCs w:val="22"/>
                <w:highlight w:val="none"/>
                <w:lang w:val="en-US" w:eastAsia="zh-CN"/>
              </w:rPr>
              <w:t>能力。</w:t>
            </w:r>
            <w:r>
              <w:rPr>
                <w:rFonts w:hint="default" w:ascii="Times New Roman" w:hAnsi="Times New Roman" w:eastAsia="方正仿宋_GBK" w:cs="Times New Roman"/>
                <w:bCs/>
                <w:color w:val="auto"/>
                <w:sz w:val="22"/>
                <w:szCs w:val="22"/>
                <w:highlight w:val="none"/>
                <w:lang w:val="en-US" w:eastAsia="zh-CN"/>
              </w:rPr>
              <w:t>视频制作质量、创意性、技术能力（如剪辑、特效、拍摄设备等）。（</w:t>
            </w:r>
            <w:r>
              <w:rPr>
                <w:rFonts w:hint="eastAsia" w:ascii="Times New Roman" w:hAnsi="Times New Roman" w:eastAsia="方正仿宋_GBK" w:cs="Times New Roman"/>
                <w:bCs/>
                <w:color w:val="auto"/>
                <w:sz w:val="22"/>
                <w:szCs w:val="22"/>
                <w:highlight w:val="none"/>
                <w:lang w:val="en-US" w:eastAsia="zh-CN"/>
              </w:rPr>
              <w:t>15</w:t>
            </w:r>
            <w:r>
              <w:rPr>
                <w:rFonts w:hint="default" w:ascii="Times New Roman" w:hAnsi="Times New Roman" w:eastAsia="方正仿宋_GBK" w:cs="Times New Roman"/>
                <w:bCs/>
                <w:color w:val="auto"/>
                <w:sz w:val="22"/>
                <w:szCs w:val="22"/>
                <w:highlight w:val="none"/>
                <w:lang w:val="en-US" w:eastAsia="zh-CN"/>
              </w:rPr>
              <w:t>分）</w:t>
            </w:r>
          </w:p>
          <w:p w14:paraId="0A03220D">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在“</w:t>
            </w:r>
            <w:r>
              <w:rPr>
                <w:rFonts w:hint="default" w:ascii="Times New Roman" w:hAnsi="Times New Roman" w:eastAsia="方正仿宋_GBK" w:cs="Times New Roman"/>
                <w:bCs/>
                <w:color w:val="auto"/>
                <w:sz w:val="22"/>
                <w:szCs w:val="22"/>
                <w:highlight w:val="none"/>
                <w:lang w:val="en-US" w:eastAsia="zh-CN"/>
              </w:rPr>
              <w:t>视频制作质量、创意性、技术能力（如剪辑、特效、拍摄设备等）</w:t>
            </w:r>
            <w:r>
              <w:rPr>
                <w:rFonts w:hint="eastAsia" w:ascii="Times New Roman" w:hAnsi="Times New Roman" w:eastAsia="方正仿宋_GBK" w:cs="Times New Roman"/>
                <w:bCs/>
                <w:color w:val="auto"/>
                <w:sz w:val="22"/>
                <w:szCs w:val="22"/>
                <w:highlight w:val="none"/>
                <w:lang w:val="en-US" w:eastAsia="zh-CN"/>
              </w:rPr>
              <w:t>”3个方面，每缺少1个方面，扣5分，每有1个方面存在不足扣3分，分值扣完为止。</w:t>
            </w:r>
          </w:p>
          <w:p w14:paraId="585DC4BF">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3.</w:t>
            </w:r>
            <w:r>
              <w:rPr>
                <w:rFonts w:hint="default" w:ascii="Times New Roman" w:hAnsi="Times New Roman" w:eastAsia="方正仿宋_GBK" w:cs="Times New Roman"/>
                <w:bCs/>
                <w:color w:val="auto"/>
                <w:sz w:val="22"/>
                <w:szCs w:val="22"/>
                <w:highlight w:val="none"/>
                <w:lang w:val="en-US" w:eastAsia="zh-CN"/>
              </w:rPr>
              <w:t>数据分析与优化能力</w:t>
            </w:r>
            <w:r>
              <w:rPr>
                <w:rFonts w:hint="eastAsia" w:ascii="Times New Roman" w:hAnsi="Times New Roman" w:eastAsia="方正仿宋_GBK" w:cs="Times New Roman"/>
                <w:bCs/>
                <w:color w:val="auto"/>
                <w:sz w:val="22"/>
                <w:szCs w:val="22"/>
                <w:highlight w:val="none"/>
                <w:lang w:val="en-US" w:eastAsia="zh-CN"/>
              </w:rPr>
              <w:t>。</w:t>
            </w:r>
            <w:r>
              <w:rPr>
                <w:rFonts w:hint="default" w:ascii="Times New Roman" w:hAnsi="Times New Roman" w:eastAsia="方正仿宋_GBK" w:cs="Times New Roman"/>
                <w:bCs/>
                <w:color w:val="auto"/>
                <w:sz w:val="22"/>
                <w:szCs w:val="22"/>
                <w:highlight w:val="none"/>
                <w:lang w:val="en-US" w:eastAsia="zh-CN"/>
              </w:rPr>
              <w:t>是否具备数据分析能力，能否提供优化建议并提升传播效果。（</w:t>
            </w:r>
            <w:r>
              <w:rPr>
                <w:rFonts w:hint="eastAsia" w:ascii="Times New Roman" w:hAnsi="Times New Roman" w:eastAsia="方正仿宋_GBK" w:cs="Times New Roman"/>
                <w:bCs/>
                <w:color w:val="auto"/>
                <w:sz w:val="22"/>
                <w:szCs w:val="22"/>
                <w:highlight w:val="none"/>
                <w:lang w:val="en-US" w:eastAsia="zh-CN"/>
              </w:rPr>
              <w:t>15</w:t>
            </w:r>
            <w:r>
              <w:rPr>
                <w:rFonts w:hint="default" w:ascii="Times New Roman" w:hAnsi="Times New Roman" w:eastAsia="方正仿宋_GBK" w:cs="Times New Roman"/>
                <w:bCs/>
                <w:color w:val="auto"/>
                <w:sz w:val="22"/>
                <w:szCs w:val="22"/>
                <w:highlight w:val="none"/>
                <w:lang w:val="en-US" w:eastAsia="zh-CN"/>
              </w:rPr>
              <w:t>分）</w:t>
            </w:r>
          </w:p>
          <w:p w14:paraId="6D0CB1D4">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eastAsia"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在“</w:t>
            </w:r>
            <w:r>
              <w:rPr>
                <w:rFonts w:hint="default" w:ascii="Times New Roman" w:hAnsi="Times New Roman" w:eastAsia="方正仿宋_GBK" w:cs="Times New Roman"/>
                <w:bCs/>
                <w:color w:val="auto"/>
                <w:sz w:val="22"/>
                <w:szCs w:val="22"/>
                <w:highlight w:val="none"/>
                <w:lang w:val="en-US" w:eastAsia="zh-CN"/>
              </w:rPr>
              <w:t>数据分析能力、优化建议</w:t>
            </w:r>
            <w:r>
              <w:rPr>
                <w:rFonts w:hint="eastAsia" w:ascii="Times New Roman" w:hAnsi="Times New Roman" w:eastAsia="方正仿宋_GBK" w:cs="Times New Roman"/>
                <w:bCs/>
                <w:color w:val="auto"/>
                <w:sz w:val="22"/>
                <w:szCs w:val="22"/>
                <w:highlight w:val="none"/>
                <w:lang w:val="en-US" w:eastAsia="zh-CN"/>
              </w:rPr>
              <w:t>、</w:t>
            </w:r>
            <w:r>
              <w:rPr>
                <w:rFonts w:hint="default" w:ascii="Times New Roman" w:hAnsi="Times New Roman" w:eastAsia="方正仿宋_GBK" w:cs="Times New Roman"/>
                <w:bCs/>
                <w:color w:val="auto"/>
                <w:sz w:val="22"/>
                <w:szCs w:val="22"/>
                <w:highlight w:val="none"/>
                <w:lang w:val="en-US" w:eastAsia="zh-CN"/>
              </w:rPr>
              <w:t>提升传播效果</w:t>
            </w:r>
            <w:r>
              <w:rPr>
                <w:rFonts w:hint="eastAsia" w:ascii="Times New Roman" w:hAnsi="Times New Roman" w:eastAsia="方正仿宋_GBK" w:cs="Times New Roman"/>
                <w:bCs/>
                <w:color w:val="auto"/>
                <w:sz w:val="22"/>
                <w:szCs w:val="22"/>
                <w:highlight w:val="none"/>
                <w:lang w:val="en-US" w:eastAsia="zh-CN"/>
              </w:rPr>
              <w:t>”3个方面，每缺少1个方面，扣5分，每有1个方面存在不足扣3分，分值扣完为止。</w:t>
            </w:r>
          </w:p>
          <w:p w14:paraId="5292DF5C">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highlight w:val="none"/>
                <w:lang w:val="en-US" w:eastAsia="zh-CN"/>
              </w:rPr>
            </w:pPr>
            <w:r>
              <w:rPr>
                <w:rFonts w:hint="eastAsia" w:ascii="Times New Roman" w:hAnsi="Times New Roman" w:eastAsia="方正仿宋_GBK" w:cs="Times New Roman"/>
                <w:bCs/>
                <w:color w:val="auto"/>
                <w:sz w:val="22"/>
                <w:szCs w:val="22"/>
                <w:highlight w:val="none"/>
                <w:lang w:val="en-US" w:eastAsia="zh-CN"/>
              </w:rPr>
              <w:t>4.</w:t>
            </w:r>
            <w:r>
              <w:rPr>
                <w:rFonts w:hint="default" w:ascii="Times New Roman" w:hAnsi="Times New Roman" w:eastAsia="方正仿宋_GBK" w:cs="Times New Roman"/>
                <w:bCs/>
                <w:color w:val="auto"/>
                <w:sz w:val="22"/>
                <w:szCs w:val="22"/>
                <w:highlight w:val="none"/>
                <w:lang w:val="en-US" w:eastAsia="zh-CN"/>
              </w:rPr>
              <w:t>服务能力</w:t>
            </w:r>
            <w:r>
              <w:rPr>
                <w:rFonts w:hint="eastAsia" w:ascii="Times New Roman" w:hAnsi="Times New Roman" w:eastAsia="方正仿宋_GBK" w:cs="Times New Roman"/>
                <w:bCs/>
                <w:color w:val="auto"/>
                <w:sz w:val="22"/>
                <w:szCs w:val="22"/>
                <w:highlight w:val="none"/>
                <w:lang w:val="en-US" w:eastAsia="zh-CN"/>
              </w:rPr>
              <w:t>。</w:t>
            </w:r>
            <w:r>
              <w:rPr>
                <w:rFonts w:hint="default" w:ascii="Times New Roman" w:hAnsi="Times New Roman" w:eastAsia="方正仿宋_GBK" w:cs="Times New Roman"/>
                <w:bCs/>
                <w:color w:val="auto"/>
                <w:sz w:val="22"/>
                <w:szCs w:val="22"/>
                <w:highlight w:val="none"/>
                <w:lang w:val="en-US" w:eastAsia="zh-CN"/>
              </w:rPr>
              <w:t>人员专业水平、设备提供能力</w:t>
            </w:r>
            <w:r>
              <w:rPr>
                <w:rFonts w:hint="eastAsia" w:ascii="Times New Roman" w:hAnsi="Times New Roman" w:eastAsia="方正仿宋_GBK" w:cs="Times New Roman"/>
                <w:bCs/>
                <w:color w:val="auto"/>
                <w:sz w:val="22"/>
                <w:szCs w:val="22"/>
                <w:highlight w:val="none"/>
                <w:lang w:val="en-US" w:eastAsia="zh-CN"/>
              </w:rPr>
              <w:t>等</w:t>
            </w:r>
            <w:r>
              <w:rPr>
                <w:rFonts w:hint="default" w:ascii="Times New Roman" w:hAnsi="Times New Roman" w:eastAsia="方正仿宋_GBK" w:cs="Times New Roman"/>
                <w:bCs/>
                <w:color w:val="auto"/>
                <w:sz w:val="22"/>
                <w:szCs w:val="22"/>
                <w:highlight w:val="none"/>
                <w:lang w:val="en-US" w:eastAsia="zh-CN"/>
              </w:rPr>
              <w:t>。（</w:t>
            </w:r>
            <w:r>
              <w:rPr>
                <w:rFonts w:hint="eastAsia" w:ascii="Times New Roman" w:hAnsi="Times New Roman" w:eastAsia="方正仿宋_GBK" w:cs="Times New Roman"/>
                <w:bCs/>
                <w:color w:val="auto"/>
                <w:sz w:val="22"/>
                <w:szCs w:val="22"/>
                <w:highlight w:val="none"/>
                <w:lang w:val="en-US" w:eastAsia="zh-CN"/>
              </w:rPr>
              <w:t>15</w:t>
            </w:r>
            <w:r>
              <w:rPr>
                <w:rFonts w:hint="default" w:ascii="Times New Roman" w:hAnsi="Times New Roman" w:eastAsia="方正仿宋_GBK" w:cs="Times New Roman"/>
                <w:bCs/>
                <w:color w:val="auto"/>
                <w:sz w:val="22"/>
                <w:szCs w:val="22"/>
                <w:highlight w:val="none"/>
                <w:lang w:val="en-US" w:eastAsia="zh-CN"/>
              </w:rPr>
              <w:t>分）</w:t>
            </w:r>
          </w:p>
          <w:p w14:paraId="63DE0BAA">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 w:val="0"/>
                <w:bCs/>
                <w:color w:val="auto"/>
                <w:sz w:val="24"/>
                <w:szCs w:val="24"/>
                <w:lang w:eastAsia="zh-CN"/>
              </w:rPr>
            </w:pPr>
            <w:r>
              <w:rPr>
                <w:rFonts w:hint="eastAsia" w:ascii="Times New Roman" w:hAnsi="Times New Roman" w:eastAsia="方正仿宋_GBK" w:cs="Times New Roman"/>
                <w:bCs/>
                <w:color w:val="auto"/>
                <w:sz w:val="22"/>
                <w:szCs w:val="22"/>
                <w:highlight w:val="none"/>
                <w:lang w:val="en-US" w:eastAsia="zh-CN"/>
              </w:rPr>
              <w:t>在“</w:t>
            </w:r>
            <w:r>
              <w:rPr>
                <w:rFonts w:hint="default" w:ascii="Times New Roman" w:hAnsi="Times New Roman" w:eastAsia="方正仿宋_GBK" w:cs="Times New Roman"/>
                <w:bCs/>
                <w:color w:val="auto"/>
                <w:sz w:val="22"/>
                <w:szCs w:val="22"/>
                <w:highlight w:val="none"/>
                <w:lang w:val="en-US" w:eastAsia="zh-CN"/>
              </w:rPr>
              <w:t>人员专业水平、设备提供</w:t>
            </w:r>
            <w:r>
              <w:rPr>
                <w:rFonts w:hint="eastAsia" w:ascii="Times New Roman" w:hAnsi="Times New Roman" w:eastAsia="方正仿宋_GBK" w:cs="Times New Roman"/>
                <w:bCs/>
                <w:color w:val="auto"/>
                <w:sz w:val="22"/>
                <w:szCs w:val="22"/>
                <w:highlight w:val="none"/>
                <w:lang w:val="en-US" w:eastAsia="zh-CN"/>
              </w:rPr>
              <w:t>完备”2个方面，每缺少1个方面，扣7.5分，每有1个方面存在不足扣5分，分值扣完为止。</w:t>
            </w:r>
          </w:p>
        </w:tc>
        <w:tc>
          <w:tcPr>
            <w:tcW w:w="2125" w:type="dxa"/>
            <w:noWrap w:val="0"/>
            <w:vAlign w:val="center"/>
          </w:tcPr>
          <w:p w14:paraId="39343D2F">
            <w:pPr>
              <w:spacing w:line="360" w:lineRule="exact"/>
              <w:jc w:val="both"/>
              <w:rPr>
                <w:rFonts w:hint="default" w:ascii="Times New Roman" w:hAnsi="Times New Roman" w:eastAsia="方正仿宋_GBK" w:cs="Times New Roman"/>
                <w:bCs/>
                <w:color w:val="auto"/>
                <w:sz w:val="22"/>
                <w:szCs w:val="22"/>
                <w:lang w:val="en-US" w:eastAsia="zh-CN"/>
              </w:rPr>
            </w:pPr>
            <w:r>
              <w:rPr>
                <w:rFonts w:hint="default" w:ascii="Times New Roman" w:hAnsi="Times New Roman" w:eastAsia="方正仿宋_GBK" w:cs="Times New Roman"/>
                <w:bCs/>
                <w:color w:val="auto"/>
                <w:sz w:val="22"/>
                <w:szCs w:val="22"/>
                <w:lang w:val="en-US" w:eastAsia="zh-CN"/>
              </w:rPr>
              <w:t>1.提供</w:t>
            </w:r>
            <w:r>
              <w:rPr>
                <w:rFonts w:hint="eastAsia" w:ascii="Times New Roman" w:hAnsi="Times New Roman" w:eastAsia="方正仿宋_GBK" w:cs="Times New Roman"/>
                <w:bCs/>
                <w:color w:val="auto"/>
                <w:sz w:val="22"/>
                <w:szCs w:val="22"/>
                <w:lang w:val="en-US" w:eastAsia="zh-CN"/>
              </w:rPr>
              <w:t>服务平台策划</w:t>
            </w:r>
            <w:r>
              <w:rPr>
                <w:rFonts w:hint="default" w:ascii="Times New Roman" w:hAnsi="Times New Roman" w:eastAsia="方正仿宋_GBK" w:cs="Times New Roman"/>
                <w:bCs/>
                <w:color w:val="auto"/>
                <w:sz w:val="22"/>
                <w:szCs w:val="22"/>
                <w:lang w:val="en-US" w:eastAsia="zh-CN"/>
              </w:rPr>
              <w:t>方案</w:t>
            </w:r>
            <w:r>
              <w:rPr>
                <w:rFonts w:hint="eastAsia" w:ascii="Times New Roman" w:hAnsi="Times New Roman" w:eastAsia="方正仿宋_GBK" w:cs="Times New Roman"/>
                <w:bCs/>
                <w:color w:val="auto"/>
                <w:sz w:val="22"/>
                <w:szCs w:val="22"/>
                <w:lang w:val="en-US" w:eastAsia="zh-CN"/>
              </w:rPr>
              <w:t>及相关服务能力保障方案</w:t>
            </w:r>
            <w:r>
              <w:rPr>
                <w:rFonts w:hint="default" w:ascii="Times New Roman" w:hAnsi="Times New Roman" w:eastAsia="方正仿宋_GBK" w:cs="Times New Roman"/>
                <w:bCs/>
                <w:color w:val="auto"/>
                <w:sz w:val="22"/>
                <w:szCs w:val="22"/>
                <w:lang w:val="en-US" w:eastAsia="zh-CN"/>
              </w:rPr>
              <w:t>；</w:t>
            </w:r>
          </w:p>
          <w:p w14:paraId="0796ECA9">
            <w:pPr>
              <w:spacing w:line="360" w:lineRule="exact"/>
              <w:jc w:val="both"/>
              <w:rPr>
                <w:rFonts w:hint="default" w:ascii="Times New Roman" w:hAnsi="Times New Roman" w:eastAsia="方正仿宋_GBK" w:cs="Times New Roman"/>
                <w:bCs/>
                <w:color w:val="auto"/>
                <w:sz w:val="24"/>
                <w:szCs w:val="24"/>
                <w:lang w:val="en-US" w:eastAsia="zh-CN"/>
              </w:rPr>
            </w:pPr>
            <w:r>
              <w:rPr>
                <w:rFonts w:hint="default" w:ascii="Times New Roman" w:hAnsi="Times New Roman" w:eastAsia="方正仿宋_GBK" w:cs="Times New Roman"/>
                <w:bCs/>
                <w:color w:val="auto"/>
                <w:sz w:val="22"/>
                <w:szCs w:val="22"/>
                <w:lang w:val="en-US" w:eastAsia="zh-CN"/>
              </w:rPr>
              <w:t>2.提供保障本项目高效运维的人员名单及其学历证书或培训结业证书或工作经历证明。</w:t>
            </w:r>
          </w:p>
        </w:tc>
        <w:tc>
          <w:tcPr>
            <w:tcW w:w="959" w:type="dxa"/>
            <w:noWrap w:val="0"/>
            <w:vAlign w:val="center"/>
          </w:tcPr>
          <w:p w14:paraId="3EE4F880">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仿宋_GBK" w:cs="Times New Roman"/>
                <w:bCs/>
                <w:color w:val="auto"/>
                <w:sz w:val="24"/>
                <w:szCs w:val="24"/>
              </w:rPr>
            </w:pPr>
          </w:p>
        </w:tc>
      </w:tr>
      <w:tr w14:paraId="58C5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311" w:type="dxa"/>
            <w:noWrap w:val="0"/>
            <w:vAlign w:val="center"/>
          </w:tcPr>
          <w:p w14:paraId="36D07418">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color w:val="auto"/>
                <w:sz w:val="24"/>
                <w:szCs w:val="24"/>
                <w:lang w:eastAsia="zh-CN"/>
              </w:rPr>
            </w:pPr>
            <w:r>
              <w:rPr>
                <w:rFonts w:hint="default" w:ascii="Times New Roman" w:hAnsi="Times New Roman" w:eastAsia="方正黑体_GBK" w:cs="Times New Roman"/>
                <w:color w:val="auto"/>
                <w:sz w:val="24"/>
                <w:szCs w:val="24"/>
                <w:lang w:eastAsia="zh-CN"/>
              </w:rPr>
              <w:t>业绩</w:t>
            </w:r>
            <w:r>
              <w:rPr>
                <w:rFonts w:hint="eastAsia" w:ascii="Times New Roman" w:hAnsi="Times New Roman" w:eastAsia="方正黑体_GBK" w:cs="Times New Roman"/>
                <w:color w:val="auto"/>
                <w:sz w:val="24"/>
                <w:szCs w:val="24"/>
                <w:lang w:eastAsia="zh-CN"/>
              </w:rPr>
              <w:t>证明</w:t>
            </w:r>
          </w:p>
          <w:p w14:paraId="6A4374A2">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黑体_GBK" w:cs="Times New Roman"/>
                <w:color w:val="auto"/>
                <w:sz w:val="24"/>
                <w:szCs w:val="24"/>
                <w:lang w:eastAsia="zh-CN"/>
              </w:rPr>
            </w:pPr>
            <w:r>
              <w:rPr>
                <w:rFonts w:hint="default" w:ascii="Times New Roman" w:hAnsi="Times New Roman" w:eastAsia="方正黑体_GBK" w:cs="Times New Roman"/>
                <w:color w:val="auto"/>
                <w:sz w:val="24"/>
                <w:szCs w:val="24"/>
                <w:lang w:eastAsia="zh-CN"/>
              </w:rPr>
              <w:t>（</w:t>
            </w:r>
            <w:r>
              <w:rPr>
                <w:rFonts w:hint="default" w:ascii="Times New Roman" w:hAnsi="Times New Roman" w:eastAsia="方正黑体_GBK" w:cs="Times New Roman"/>
                <w:color w:val="auto"/>
                <w:sz w:val="24"/>
                <w:szCs w:val="24"/>
                <w:lang w:val="en-US" w:eastAsia="zh-CN"/>
              </w:rPr>
              <w:t>20分</w:t>
            </w:r>
            <w:r>
              <w:rPr>
                <w:rFonts w:hint="default" w:ascii="Times New Roman" w:hAnsi="Times New Roman" w:eastAsia="方正黑体_GBK" w:cs="Times New Roman"/>
                <w:color w:val="auto"/>
                <w:sz w:val="24"/>
                <w:szCs w:val="24"/>
                <w:lang w:eastAsia="zh-CN"/>
              </w:rPr>
              <w:t>）</w:t>
            </w:r>
          </w:p>
        </w:tc>
        <w:tc>
          <w:tcPr>
            <w:tcW w:w="5524" w:type="dxa"/>
            <w:noWrap w:val="0"/>
            <w:vAlign w:val="center"/>
          </w:tcPr>
          <w:p w14:paraId="75ED5D53">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2"/>
                <w:szCs w:val="22"/>
                <w:lang w:val="en-US" w:eastAsia="zh-CN"/>
              </w:rPr>
            </w:pPr>
            <w:r>
              <w:rPr>
                <w:rFonts w:hint="default" w:ascii="Times New Roman" w:hAnsi="Times New Roman" w:eastAsia="方正仿宋_GBK" w:cs="Times New Roman"/>
                <w:bCs/>
                <w:color w:val="auto"/>
                <w:sz w:val="22"/>
                <w:szCs w:val="22"/>
                <w:lang w:val="en-US" w:eastAsia="zh-CN"/>
              </w:rPr>
              <w:t>1.有新媒体账号运维经验，提供类似项目、金额10万元及以上合同1个及以上。每一件得5分，总分不超过10分。</w:t>
            </w:r>
          </w:p>
          <w:p w14:paraId="416BD0D1">
            <w:pPr>
              <w:keepNext w:val="0"/>
              <w:keepLines w:val="0"/>
              <w:pageBreakBefore w:val="0"/>
              <w:widowControl w:val="0"/>
              <w:kinsoku/>
              <w:wordWrap/>
              <w:overflowPunct w:val="0"/>
              <w:topLinePunct/>
              <w:autoSpaceDE/>
              <w:autoSpaceDN/>
              <w:bidi w:val="0"/>
              <w:adjustRightInd w:val="0"/>
              <w:snapToGrid w:val="0"/>
              <w:spacing w:line="280" w:lineRule="exact"/>
              <w:ind w:firstLine="220" w:firstLineChars="100"/>
              <w:jc w:val="both"/>
              <w:textAlignment w:val="auto"/>
              <w:rPr>
                <w:rFonts w:hint="default" w:ascii="Times New Roman" w:hAnsi="Times New Roman" w:eastAsia="方正仿宋_GBK" w:cs="Times New Roman"/>
                <w:bCs/>
                <w:color w:val="auto"/>
                <w:sz w:val="24"/>
                <w:szCs w:val="24"/>
                <w:lang w:val="en-US" w:eastAsia="zh-CN"/>
              </w:rPr>
            </w:pPr>
            <w:r>
              <w:rPr>
                <w:rFonts w:hint="default" w:ascii="Times New Roman" w:hAnsi="Times New Roman" w:eastAsia="方正仿宋_GBK" w:cs="Times New Roman"/>
                <w:bCs/>
                <w:color w:val="auto"/>
                <w:sz w:val="22"/>
                <w:szCs w:val="22"/>
                <w:lang w:val="en-US" w:eastAsia="zh-CN"/>
              </w:rPr>
              <w:t>2.爆款</w:t>
            </w:r>
            <w:r>
              <w:rPr>
                <w:rFonts w:hint="eastAsia" w:ascii="Times New Roman" w:hAnsi="Times New Roman" w:eastAsia="方正仿宋_GBK" w:cs="Times New Roman"/>
                <w:bCs/>
                <w:color w:val="auto"/>
                <w:sz w:val="22"/>
                <w:szCs w:val="22"/>
                <w:lang w:val="en-US" w:eastAsia="zh-CN"/>
              </w:rPr>
              <w:t>（以浏览量、点评转合计数量划分，视频类400万及以上，图文类2万及以上）</w:t>
            </w:r>
            <w:r>
              <w:rPr>
                <w:rFonts w:hint="default" w:ascii="Times New Roman" w:hAnsi="Times New Roman" w:eastAsia="方正仿宋_GBK" w:cs="Times New Roman"/>
                <w:bCs/>
                <w:color w:val="auto"/>
                <w:sz w:val="22"/>
                <w:szCs w:val="22"/>
                <w:lang w:val="en-US" w:eastAsia="zh-CN"/>
              </w:rPr>
              <w:t>新媒体作品1件及以上，每一件得</w:t>
            </w:r>
            <w:r>
              <w:rPr>
                <w:rFonts w:hint="eastAsia" w:ascii="Times New Roman" w:hAnsi="Times New Roman" w:eastAsia="方正仿宋_GBK" w:cs="Times New Roman"/>
                <w:bCs/>
                <w:color w:val="auto"/>
                <w:sz w:val="22"/>
                <w:szCs w:val="22"/>
                <w:lang w:val="en-US" w:eastAsia="zh-CN"/>
              </w:rPr>
              <w:t>5</w:t>
            </w:r>
            <w:r>
              <w:rPr>
                <w:rFonts w:hint="default" w:ascii="Times New Roman" w:hAnsi="Times New Roman" w:eastAsia="方正仿宋_GBK" w:cs="Times New Roman"/>
                <w:bCs/>
                <w:color w:val="auto"/>
                <w:sz w:val="22"/>
                <w:szCs w:val="22"/>
                <w:lang w:val="en-US" w:eastAsia="zh-CN"/>
              </w:rPr>
              <w:t>分，总分不超过10分。</w:t>
            </w:r>
          </w:p>
        </w:tc>
        <w:tc>
          <w:tcPr>
            <w:tcW w:w="2125" w:type="dxa"/>
            <w:noWrap w:val="0"/>
            <w:vAlign w:val="center"/>
          </w:tcPr>
          <w:p w14:paraId="5CF13791">
            <w:pPr>
              <w:spacing w:line="360" w:lineRule="exact"/>
              <w:jc w:val="both"/>
              <w:rPr>
                <w:rFonts w:hint="default" w:ascii="Times New Roman" w:hAnsi="Times New Roman" w:eastAsia="方正仿宋_GBK" w:cs="Times New Roman"/>
                <w:bCs/>
                <w:color w:val="auto"/>
                <w:sz w:val="22"/>
                <w:szCs w:val="22"/>
                <w:lang w:val="en-US" w:eastAsia="zh-CN"/>
              </w:rPr>
            </w:pPr>
            <w:r>
              <w:rPr>
                <w:rFonts w:hint="default" w:ascii="Times New Roman" w:hAnsi="Times New Roman" w:eastAsia="方正仿宋_GBK" w:cs="Times New Roman"/>
                <w:bCs/>
                <w:color w:val="auto"/>
                <w:sz w:val="22"/>
                <w:szCs w:val="22"/>
                <w:lang w:val="en-US" w:eastAsia="zh-CN"/>
              </w:rPr>
              <w:t>1.提供服务合同；</w:t>
            </w:r>
          </w:p>
          <w:p w14:paraId="41A87B9A">
            <w:pPr>
              <w:spacing w:line="360" w:lineRule="exact"/>
              <w:jc w:val="both"/>
              <w:rPr>
                <w:rFonts w:hint="default" w:ascii="Times New Roman" w:hAnsi="Times New Roman" w:eastAsia="方正仿宋_GBK" w:cs="Times New Roman"/>
                <w:bCs/>
                <w:color w:val="auto"/>
                <w:sz w:val="24"/>
                <w:szCs w:val="24"/>
                <w:lang w:val="en-US" w:eastAsia="zh-CN"/>
              </w:rPr>
            </w:pPr>
            <w:r>
              <w:rPr>
                <w:rFonts w:hint="default" w:ascii="Times New Roman" w:hAnsi="Times New Roman" w:eastAsia="方正仿宋_GBK" w:cs="Times New Roman"/>
                <w:bCs/>
                <w:color w:val="auto"/>
                <w:sz w:val="22"/>
                <w:szCs w:val="22"/>
                <w:lang w:val="en-US" w:eastAsia="zh-CN"/>
              </w:rPr>
              <w:t>2.提供爆款新媒体作品浏览量佐证资料。</w:t>
            </w:r>
          </w:p>
        </w:tc>
        <w:tc>
          <w:tcPr>
            <w:tcW w:w="959" w:type="dxa"/>
            <w:noWrap w:val="0"/>
            <w:vAlign w:val="center"/>
          </w:tcPr>
          <w:p w14:paraId="16E15A91">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仿宋_GBK" w:cs="Times New Roman"/>
                <w:color w:val="auto"/>
                <w:sz w:val="24"/>
                <w:szCs w:val="24"/>
              </w:rPr>
            </w:pPr>
          </w:p>
        </w:tc>
      </w:tr>
      <w:tr w14:paraId="2CCC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960" w:type="dxa"/>
            <w:gridSpan w:val="3"/>
            <w:noWrap w:val="0"/>
            <w:vAlign w:val="center"/>
          </w:tcPr>
          <w:p w14:paraId="2373E3C1">
            <w:pPr>
              <w:keepNext w:val="0"/>
              <w:keepLines w:val="0"/>
              <w:pageBreakBefore w:val="0"/>
              <w:widowControl w:val="0"/>
              <w:tabs>
                <w:tab w:val="left" w:pos="1418"/>
              </w:tabs>
              <w:kinsoku/>
              <w:wordWrap/>
              <w:overflowPunct w:val="0"/>
              <w:topLinePunct/>
              <w:autoSpaceDE/>
              <w:autoSpaceDN/>
              <w:bidi w:val="0"/>
              <w:adjustRightInd w:val="0"/>
              <w:snapToGrid w:val="0"/>
              <w:spacing w:line="340" w:lineRule="exact"/>
              <w:textAlignment w:val="auto"/>
              <w:rPr>
                <w:rFonts w:hint="default" w:ascii="Times New Roman" w:hAnsi="Times New Roman" w:eastAsia="方正仿宋_GBK" w:cs="Times New Roman"/>
                <w:bCs/>
                <w:color w:val="auto"/>
                <w:sz w:val="24"/>
                <w:szCs w:val="24"/>
                <w:lang w:eastAsia="zh-CN"/>
              </w:rPr>
            </w:pPr>
            <w:r>
              <w:rPr>
                <w:rFonts w:hint="eastAsia" w:ascii="方正黑体_GBK" w:hAnsi="方正黑体_GBK" w:eastAsia="方正黑体_GBK" w:cs="方正黑体_GBK"/>
                <w:bCs/>
                <w:color w:val="auto"/>
                <w:sz w:val="24"/>
                <w:szCs w:val="24"/>
                <w:lang w:eastAsia="zh-CN"/>
              </w:rPr>
              <w:t>总分</w:t>
            </w:r>
          </w:p>
        </w:tc>
        <w:tc>
          <w:tcPr>
            <w:tcW w:w="959" w:type="dxa"/>
            <w:noWrap w:val="0"/>
            <w:vAlign w:val="center"/>
          </w:tcPr>
          <w:p w14:paraId="523CEA66">
            <w:pPr>
              <w:keepNext w:val="0"/>
              <w:keepLines w:val="0"/>
              <w:pageBreakBefore w:val="0"/>
              <w:widowControl w:val="0"/>
              <w:kinsoku/>
              <w:wordWrap/>
              <w:overflowPunct w:val="0"/>
              <w:topLinePunct/>
              <w:autoSpaceDE/>
              <w:autoSpaceDN/>
              <w:bidi w:val="0"/>
              <w:adjustRightInd w:val="0"/>
              <w:snapToGrid w:val="0"/>
              <w:spacing w:line="340" w:lineRule="exact"/>
              <w:jc w:val="center"/>
              <w:textAlignment w:val="auto"/>
              <w:rPr>
                <w:rFonts w:hint="default" w:ascii="Times New Roman" w:hAnsi="Times New Roman" w:eastAsia="方正仿宋_GBK" w:cs="Times New Roman"/>
                <w:bCs/>
                <w:color w:val="auto"/>
                <w:sz w:val="24"/>
                <w:szCs w:val="24"/>
              </w:rPr>
            </w:pPr>
          </w:p>
        </w:tc>
      </w:tr>
    </w:tbl>
    <w:p w14:paraId="73A14CFE">
      <w:pPr>
        <w:keepNext w:val="0"/>
        <w:keepLines w:val="0"/>
        <w:pageBreakBefore w:val="0"/>
        <w:widowControl w:val="0"/>
        <w:tabs>
          <w:tab w:val="left" w:pos="1418"/>
        </w:tabs>
        <w:kinsoku/>
        <w:wordWrap/>
        <w:overflowPunct w:val="0"/>
        <w:topLinePunct/>
        <w:autoSpaceDE/>
        <w:autoSpaceDN/>
        <w:bidi w:val="0"/>
        <w:adjustRightInd w:val="0"/>
        <w:snapToGrid w:val="0"/>
        <w:spacing w:line="360" w:lineRule="exact"/>
        <w:ind w:firstLine="480" w:firstLineChars="200"/>
        <w:jc w:val="left"/>
        <w:textAlignment w:val="auto"/>
        <w:rPr>
          <w:rFonts w:hint="default"/>
          <w:lang w:val="en-US"/>
        </w:rPr>
      </w:pPr>
      <w:r>
        <w:rPr>
          <w:rFonts w:hint="eastAsia" w:ascii="Times New Roman" w:hAnsi="Times New Roman" w:eastAsia="方正仿宋_GBK" w:cs="Times New Roman"/>
          <w:bCs/>
          <w:color w:val="auto"/>
          <w:sz w:val="24"/>
          <w:szCs w:val="24"/>
          <w:lang w:eastAsia="zh-CN"/>
        </w:rPr>
        <w:t>评分结果应用：</w:t>
      </w:r>
      <w:r>
        <w:rPr>
          <w:rFonts w:hint="eastAsia" w:ascii="Times New Roman" w:hAnsi="Times New Roman" w:eastAsia="方正仿宋_GBK" w:cs="Times New Roman"/>
          <w:bCs/>
          <w:color w:val="auto"/>
          <w:sz w:val="24"/>
          <w:szCs w:val="24"/>
          <w:lang w:val="en-US" w:eastAsia="zh-CN"/>
        </w:rPr>
        <w:t>1.</w:t>
      </w:r>
      <w:r>
        <w:rPr>
          <w:rFonts w:hint="default" w:ascii="Times New Roman" w:hAnsi="Times New Roman" w:eastAsia="方正仿宋_GBK" w:cs="Times New Roman"/>
          <w:bCs/>
          <w:color w:val="auto"/>
          <w:sz w:val="24"/>
          <w:szCs w:val="24"/>
          <w:lang w:eastAsia="zh-CN"/>
        </w:rPr>
        <w:t>总分最高的供应商为第一中标候选人，次高为第二中标候选人，以此类推。</w:t>
      </w:r>
      <w:r>
        <w:rPr>
          <w:rFonts w:hint="eastAsia" w:ascii="Times New Roman" w:hAnsi="Times New Roman" w:eastAsia="方正仿宋_GBK" w:cs="Times New Roman"/>
          <w:bCs/>
          <w:color w:val="auto"/>
          <w:sz w:val="24"/>
          <w:szCs w:val="24"/>
          <w:lang w:val="en-US" w:eastAsia="zh-CN"/>
        </w:rPr>
        <w:t>2.</w:t>
      </w:r>
      <w:r>
        <w:rPr>
          <w:rFonts w:hint="default" w:ascii="Times New Roman" w:hAnsi="Times New Roman" w:eastAsia="方正仿宋_GBK" w:cs="Times New Roman"/>
          <w:bCs/>
          <w:color w:val="auto"/>
          <w:sz w:val="24"/>
          <w:szCs w:val="24"/>
          <w:lang w:eastAsia="zh-CN"/>
        </w:rPr>
        <w:t>若出现总分相同的情况，优先考虑</w:t>
      </w:r>
      <w:r>
        <w:rPr>
          <w:rFonts w:hint="eastAsia" w:ascii="Times New Roman" w:hAnsi="Times New Roman" w:eastAsia="方正仿宋_GBK" w:cs="Times New Roman"/>
          <w:bCs/>
          <w:color w:val="auto"/>
          <w:sz w:val="24"/>
          <w:szCs w:val="24"/>
          <w:lang w:eastAsia="zh-CN"/>
        </w:rPr>
        <w:t>服务能力</w:t>
      </w:r>
      <w:r>
        <w:rPr>
          <w:rFonts w:hint="default" w:ascii="Times New Roman" w:hAnsi="Times New Roman" w:eastAsia="方正仿宋_GBK" w:cs="Times New Roman"/>
          <w:bCs/>
          <w:color w:val="auto"/>
          <w:sz w:val="24"/>
          <w:szCs w:val="24"/>
          <w:lang w:eastAsia="zh-CN"/>
        </w:rPr>
        <w:t>分更高的供应商。</w:t>
      </w:r>
      <w:r>
        <w:rPr>
          <w:rFonts w:hint="eastAsia" w:ascii="Times New Roman" w:hAnsi="Times New Roman" w:eastAsia="方正仿宋_GBK" w:cs="Times New Roman"/>
          <w:bCs/>
          <w:color w:val="auto"/>
          <w:sz w:val="24"/>
          <w:szCs w:val="24"/>
          <w:lang w:val="en-US" w:eastAsia="zh-CN"/>
        </w:rPr>
        <w:t>3.所有分数均</w:t>
      </w:r>
      <w:bookmarkStart w:id="0" w:name="_GoBack"/>
      <w:bookmarkEnd w:id="0"/>
      <w:r>
        <w:rPr>
          <w:rFonts w:hint="eastAsia" w:ascii="Times New Roman" w:hAnsi="Times New Roman" w:eastAsia="方正仿宋_GBK" w:cs="Times New Roman"/>
          <w:bCs/>
          <w:color w:val="auto"/>
          <w:sz w:val="24"/>
          <w:szCs w:val="24"/>
          <w:lang w:val="en-US" w:eastAsia="zh-CN"/>
        </w:rPr>
        <w:t>保留2位小数。</w:t>
      </w:r>
    </w:p>
    <w:sectPr>
      <w:pgSz w:w="11906" w:h="16838"/>
      <w:pgMar w:top="1928" w:right="1587" w:bottom="1701" w:left="1587" w:header="851" w:footer="1474"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1ZjFiNWQ2MGI3MmYxYzYzYjNiOTk3MjE5ZjhlNDEifQ=="/>
  </w:docVars>
  <w:rsids>
    <w:rsidRoot w:val="5B153FE5"/>
    <w:rsid w:val="17C679B1"/>
    <w:rsid w:val="1BAB0CA3"/>
    <w:rsid w:val="30C14E59"/>
    <w:rsid w:val="36755318"/>
    <w:rsid w:val="3FA63A8F"/>
    <w:rsid w:val="43061F43"/>
    <w:rsid w:val="4C74032F"/>
    <w:rsid w:val="5B153FE5"/>
    <w:rsid w:val="66687B91"/>
    <w:rsid w:val="78867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800</Words>
  <Characters>828</Characters>
  <Lines>0</Lines>
  <Paragraphs>0</Paragraphs>
  <TotalTime>3</TotalTime>
  <ScaleCrop>false</ScaleCrop>
  <LinksUpToDate>false</LinksUpToDate>
  <CharactersWithSpaces>828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2025-02-25T08:55:00Z</dcterms:created>
  <dc:creator>贺利强</dc:creator>
  <cp:lastModifiedBy>张芸</cp:lastModifiedBy>
  <dcterms:modified xsi:type="dcterms:W3CDTF">2025-03-10T09:07:51Z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32E5E55C274A4E2683430547C01CE300_11</vt:lpwstr>
  </property>
  <property fmtid="{D5CDD505-2E9C-101B-9397-08002B2CF9AE}" pid="4" name="KSOTemplateDocerSaveRecord">
    <vt:lpwstr>eyJoZGlkIjoiNjRiZDg2ZjdlNmM0YjQxOWJmNDQ5NmRjMzA0NDNiNDAifQ==</vt:lpwstr>
  </property>
</Properties>
</file>