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rPr>
          <w:rFonts w:hint="eastAsia" w:ascii="宋体" w:hAnsi="宋体" w:cs="宋体"/>
          <w:b/>
          <w:bCs/>
          <w:color w:val="000000"/>
          <w:sz w:val="24"/>
          <w:szCs w:val="24"/>
        </w:rPr>
      </w:pPr>
    </w:p>
    <w:p>
      <w:pPr>
        <w:numPr>
          <w:ilvl w:val="0"/>
          <w:numId w:val="0"/>
        </w:numPr>
        <w:jc w:val="center"/>
        <w:rPr>
          <w:rFonts w:hint="eastAsia" w:ascii="宋体" w:hAnsi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>科室整体规划图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drawing>
          <wp:inline distT="0" distB="0" distL="114300" distR="114300">
            <wp:extent cx="5544185" cy="6392545"/>
            <wp:effectExtent l="0" t="0" r="18415" b="8255"/>
            <wp:docPr id="1" name="图片 1" descr="微信图片_20220308110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2030811015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44185" cy="639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b/>
          <w:bCs/>
          <w:color w:val="000000"/>
          <w:sz w:val="24"/>
          <w:szCs w:val="24"/>
          <w:lang w:eastAsia="zh-CN"/>
        </w:rPr>
      </w:pPr>
    </w:p>
    <w:p>
      <w:pPr>
        <w:rPr>
          <w:rFonts w:hint="eastAsia" w:ascii="宋体" w:hAnsi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 xml:space="preserve">                      </w:t>
      </w:r>
    </w:p>
    <w:p>
      <w:pPr>
        <w:rPr>
          <w:rFonts w:hint="eastAsia" w:ascii="宋体" w:hAnsi="宋体" w:cs="宋体"/>
          <w:b/>
          <w:bCs/>
          <w:color w:val="000000"/>
          <w:sz w:val="24"/>
          <w:szCs w:val="24"/>
        </w:rPr>
      </w:pPr>
    </w:p>
    <w:p>
      <w:pPr>
        <w:rPr>
          <w:rFonts w:hint="eastAsia" w:ascii="宋体" w:hAnsi="宋体" w:cs="宋体"/>
          <w:b/>
          <w:bCs/>
          <w:color w:val="000000"/>
          <w:sz w:val="24"/>
          <w:szCs w:val="24"/>
        </w:rPr>
      </w:pPr>
    </w:p>
    <w:p>
      <w:pPr>
        <w:rPr>
          <w:rFonts w:hint="eastAsia" w:ascii="宋体" w:hAnsi="宋体" w:cs="宋体"/>
          <w:b/>
          <w:bCs/>
          <w:color w:val="000000"/>
          <w:sz w:val="24"/>
          <w:szCs w:val="24"/>
        </w:rPr>
      </w:pPr>
    </w:p>
    <w:p>
      <w:pPr>
        <w:rPr>
          <w:rFonts w:hint="eastAsia" w:ascii="宋体" w:hAnsi="宋体" w:cs="宋体"/>
          <w:b/>
          <w:bCs/>
          <w:color w:val="000000"/>
          <w:sz w:val="24"/>
          <w:szCs w:val="24"/>
        </w:rPr>
      </w:pPr>
    </w:p>
    <w:p>
      <w:pPr>
        <w:rPr>
          <w:rFonts w:hint="eastAsia" w:ascii="宋体" w:hAnsi="宋体" w:cs="宋体"/>
          <w:b/>
          <w:bCs/>
          <w:color w:val="000000"/>
          <w:sz w:val="24"/>
          <w:szCs w:val="24"/>
        </w:rPr>
      </w:pPr>
    </w:p>
    <w:p>
      <w:pPr>
        <w:rPr>
          <w:rFonts w:hint="eastAsia" w:ascii="宋体" w:hAnsi="宋体" w:cs="宋体"/>
          <w:b/>
          <w:bCs/>
          <w:color w:val="000000"/>
          <w:sz w:val="24"/>
          <w:szCs w:val="24"/>
        </w:rPr>
      </w:pPr>
    </w:p>
    <w:p>
      <w:pPr>
        <w:rPr>
          <w:rFonts w:hint="eastAsia" w:ascii="宋体" w:hAnsi="宋体" w:cs="宋体"/>
          <w:b/>
          <w:bCs/>
          <w:color w:val="000000"/>
          <w:sz w:val="24"/>
          <w:szCs w:val="24"/>
        </w:rPr>
      </w:pPr>
    </w:p>
    <w:p>
      <w:pPr>
        <w:rPr>
          <w:rFonts w:hint="eastAsia" w:ascii="宋体" w:hAnsi="宋体" w:cs="宋体"/>
          <w:b/>
          <w:bCs/>
          <w:color w:val="000000"/>
          <w:sz w:val="24"/>
          <w:szCs w:val="24"/>
        </w:rPr>
      </w:pPr>
    </w:p>
    <w:p>
      <w:pPr>
        <w:rPr>
          <w:rFonts w:hint="eastAsia" w:ascii="宋体" w:hAnsi="宋体" w:cs="宋体"/>
          <w:b/>
          <w:bCs/>
          <w:color w:val="000000"/>
          <w:sz w:val="24"/>
          <w:szCs w:val="24"/>
        </w:rPr>
      </w:pPr>
    </w:p>
    <w:p>
      <w:pPr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drawing>
          <wp:inline distT="0" distB="0" distL="0" distR="0">
            <wp:extent cx="5273040" cy="5005070"/>
            <wp:effectExtent l="0" t="0" r="3810" b="5080"/>
            <wp:docPr id="1027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图片 2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00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80" w:firstLineChars="200"/>
        <w:rPr>
          <w:rFonts w:hint="default" w:ascii="宋体" w:hAnsi="宋体" w:cs="宋体"/>
          <w:b/>
          <w:bCs/>
          <w:color w:val="000000"/>
          <w:sz w:val="24"/>
          <w:szCs w:val="24"/>
          <w:lang w:val="en-US"/>
        </w:rPr>
      </w:pP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 xml:space="preserve">                      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 xml:space="preserve"> 屏蔽室设计图</w:t>
      </w:r>
      <w:bookmarkStart w:id="0" w:name="_GoBack"/>
      <w:bookmarkEnd w:id="0"/>
    </w:p>
    <w:tbl>
      <w:tblPr>
        <w:tblStyle w:val="3"/>
        <w:tblpPr w:leftFromText="180" w:rightFromText="180" w:vertAnchor="text" w:tblpX="-828" w:tblpY="665"/>
        <w:tblOverlap w:val="never"/>
        <w:tblW w:w="101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"/>
        <w:gridCol w:w="1875"/>
        <w:gridCol w:w="1012"/>
        <w:gridCol w:w="61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031" w:type="dxa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  <w:t>执行标准</w:t>
            </w:r>
          </w:p>
        </w:tc>
        <w:tc>
          <w:tcPr>
            <w:tcW w:w="9075" w:type="dxa"/>
            <w:gridSpan w:val="3"/>
          </w:tcPr>
          <w:p>
            <w:pPr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执行GB/T16403-1996《纯音气导和骨导听阈基本测听法》标准及国家环保/安全/建筑标准/防雷等功能。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1031" w:type="dxa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隔声性能</w:t>
            </w:r>
          </w:p>
        </w:tc>
        <w:tc>
          <w:tcPr>
            <w:tcW w:w="9075" w:type="dxa"/>
            <w:gridSpan w:val="3"/>
          </w:tcPr>
          <w:p>
            <w:pPr>
              <w:ind w:left="627" w:leftChars="100" w:hanging="417" w:hangingChars="149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符合GB/T 16403标准，在室外噪声55dB（A）的情况下，室内本底噪声不高于3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sz w:val="28"/>
                <w:szCs w:val="28"/>
              </w:rPr>
              <w:t>dB（A）。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031" w:type="dxa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875" w:type="dxa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配置名称</w:t>
            </w:r>
          </w:p>
        </w:tc>
        <w:tc>
          <w:tcPr>
            <w:tcW w:w="1012" w:type="dxa"/>
          </w:tcPr>
          <w:p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数量</w:t>
            </w:r>
          </w:p>
        </w:tc>
        <w:tc>
          <w:tcPr>
            <w:tcW w:w="6188" w:type="dxa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参数特点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1031" w:type="dxa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875" w:type="dxa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外部尺寸</w:t>
            </w:r>
          </w:p>
        </w:tc>
        <w:tc>
          <w:tcPr>
            <w:tcW w:w="1012" w:type="dxa"/>
          </w:tcPr>
          <w:p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  <w:t>1间</w:t>
            </w:r>
          </w:p>
        </w:tc>
        <w:tc>
          <w:tcPr>
            <w:tcW w:w="6188" w:type="dxa"/>
          </w:tcPr>
          <w:p>
            <w:pPr>
              <w:ind w:left="627" w:leftChars="100" w:hanging="417" w:hangingChars="149"/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2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sz w:val="28"/>
                <w:szCs w:val="28"/>
              </w:rPr>
              <w:t>00mm×2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45</w:t>
            </w:r>
            <w:r>
              <w:rPr>
                <w:rFonts w:hint="eastAsia" w:ascii="宋体" w:hAnsi="宋体" w:cs="宋体"/>
                <w:sz w:val="28"/>
                <w:szCs w:val="28"/>
              </w:rPr>
              <w:t>0mm×2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sz w:val="28"/>
                <w:szCs w:val="28"/>
              </w:rPr>
              <w:t>00mm（长、宽、高）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031" w:type="dxa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875" w:type="dxa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墙体厚度</w:t>
            </w:r>
          </w:p>
        </w:tc>
        <w:tc>
          <w:tcPr>
            <w:tcW w:w="1012" w:type="dxa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1间</w:t>
            </w:r>
          </w:p>
        </w:tc>
        <w:tc>
          <w:tcPr>
            <w:tcW w:w="6188" w:type="dxa"/>
          </w:tcPr>
          <w:p>
            <w:pPr>
              <w:ind w:left="697" w:hanging="697" w:hangingChars="249"/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根据本地噪声要求墙厚110mm。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031" w:type="dxa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875" w:type="dxa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整体结构</w:t>
            </w:r>
          </w:p>
        </w:tc>
        <w:tc>
          <w:tcPr>
            <w:tcW w:w="1012" w:type="dxa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1间</w:t>
            </w:r>
          </w:p>
        </w:tc>
        <w:tc>
          <w:tcPr>
            <w:tcW w:w="6188" w:type="dxa"/>
          </w:tcPr>
          <w:p>
            <w:pPr>
              <w:ind w:left="627" w:leftChars="100" w:hanging="417" w:hangingChars="149"/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双层浮筑镀锌钢结构，装配式。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031" w:type="dxa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875" w:type="dxa"/>
          </w:tcPr>
          <w:p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屏蔽隔声门</w:t>
            </w:r>
          </w:p>
        </w:tc>
        <w:tc>
          <w:tcPr>
            <w:tcW w:w="1012" w:type="dxa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1套</w:t>
            </w:r>
          </w:p>
        </w:tc>
        <w:tc>
          <w:tcPr>
            <w:tcW w:w="6188" w:type="dxa"/>
          </w:tcPr>
          <w:p>
            <w:pPr>
              <w:ind w:left="627" w:leftChars="100" w:hanging="417" w:hangingChars="149"/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镀锌钢制屏蔽隔声门，双层磁吸技术，采用120目铜网、紫铜带加工处理门框和铍铜簧片。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031" w:type="dxa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875" w:type="dxa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屏蔽隔声窗</w:t>
            </w:r>
          </w:p>
        </w:tc>
        <w:tc>
          <w:tcPr>
            <w:tcW w:w="1012" w:type="dxa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1套</w:t>
            </w:r>
          </w:p>
        </w:tc>
        <w:tc>
          <w:tcPr>
            <w:tcW w:w="6188" w:type="dxa"/>
          </w:tcPr>
          <w:p>
            <w:pPr>
              <w:ind w:left="627" w:leftChars="100" w:hanging="417" w:hangingChars="149"/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双层中空玻璃结构，整体内部屏蔽处理，尺寸≥800mm×600mm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031" w:type="dxa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875" w:type="dxa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减震系统</w:t>
            </w:r>
          </w:p>
        </w:tc>
        <w:tc>
          <w:tcPr>
            <w:tcW w:w="1012" w:type="dxa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1套</w:t>
            </w:r>
          </w:p>
        </w:tc>
        <w:tc>
          <w:tcPr>
            <w:tcW w:w="6188" w:type="dxa"/>
          </w:tcPr>
          <w:p>
            <w:pPr>
              <w:ind w:left="627" w:leftChars="100" w:hanging="417" w:hangingChars="149"/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减震器自振频率≤4Hz。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031" w:type="dxa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1875" w:type="dxa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照明系统</w:t>
            </w:r>
          </w:p>
        </w:tc>
        <w:tc>
          <w:tcPr>
            <w:tcW w:w="1012" w:type="dxa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1套</w:t>
            </w:r>
          </w:p>
        </w:tc>
        <w:tc>
          <w:tcPr>
            <w:tcW w:w="6188" w:type="dxa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室内提供LED照明电路。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031" w:type="dxa"/>
          </w:tcPr>
          <w:p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1875" w:type="dxa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室内电源</w:t>
            </w:r>
          </w:p>
        </w:tc>
        <w:tc>
          <w:tcPr>
            <w:tcW w:w="1012" w:type="dxa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1套</w:t>
            </w:r>
          </w:p>
        </w:tc>
        <w:tc>
          <w:tcPr>
            <w:tcW w:w="6188" w:type="dxa"/>
          </w:tcPr>
          <w:p>
            <w:pPr>
              <w:ind w:left="697" w:hanging="697" w:hangingChars="249"/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电源输入端必须配有独立的漏电保护装置和滤波装置。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031" w:type="dxa"/>
          </w:tcPr>
          <w:p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1875" w:type="dxa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通风系统</w:t>
            </w:r>
          </w:p>
        </w:tc>
        <w:tc>
          <w:tcPr>
            <w:tcW w:w="1012" w:type="dxa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1套</w:t>
            </w:r>
          </w:p>
        </w:tc>
        <w:tc>
          <w:tcPr>
            <w:tcW w:w="6188" w:type="dxa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主动式有源通风系统，同时经屏蔽材料处理。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31" w:type="dxa"/>
          </w:tcPr>
          <w:p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1875" w:type="dxa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隔声材料</w:t>
            </w:r>
          </w:p>
        </w:tc>
        <w:tc>
          <w:tcPr>
            <w:tcW w:w="1012" w:type="dxa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1套</w:t>
            </w:r>
          </w:p>
        </w:tc>
        <w:tc>
          <w:tcPr>
            <w:tcW w:w="6188" w:type="dxa"/>
          </w:tcPr>
          <w:p>
            <w:pPr>
              <w:ind w:left="697" w:hanging="697" w:hangingChars="249"/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进口无甲醛环保隔声棉，须提供环保检测证明文件。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031" w:type="dxa"/>
          </w:tcPr>
          <w:p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1875" w:type="dxa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地面材料</w:t>
            </w:r>
          </w:p>
        </w:tc>
        <w:tc>
          <w:tcPr>
            <w:tcW w:w="1012" w:type="dxa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1套</w:t>
            </w:r>
          </w:p>
        </w:tc>
        <w:tc>
          <w:tcPr>
            <w:tcW w:w="6188" w:type="dxa"/>
          </w:tcPr>
          <w:p>
            <w:pPr>
              <w:ind w:left="627" w:leftChars="100" w:hanging="417" w:hangingChars="149"/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无异味地毯。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031" w:type="dxa"/>
          </w:tcPr>
          <w:p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1875" w:type="dxa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内墙材料</w:t>
            </w:r>
          </w:p>
        </w:tc>
        <w:tc>
          <w:tcPr>
            <w:tcW w:w="1012" w:type="dxa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1套</w:t>
            </w:r>
          </w:p>
        </w:tc>
        <w:tc>
          <w:tcPr>
            <w:tcW w:w="6188" w:type="dxa"/>
          </w:tcPr>
          <w:p>
            <w:pPr>
              <w:ind w:left="627" w:leftChars="100" w:hanging="417" w:hangingChars="149"/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冲孔铝板。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1031" w:type="dxa"/>
          </w:tcPr>
          <w:p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1875" w:type="dxa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外墙表面</w:t>
            </w:r>
          </w:p>
        </w:tc>
        <w:tc>
          <w:tcPr>
            <w:tcW w:w="1012" w:type="dxa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1套</w:t>
            </w:r>
          </w:p>
        </w:tc>
        <w:tc>
          <w:tcPr>
            <w:tcW w:w="6188" w:type="dxa"/>
          </w:tcPr>
          <w:p>
            <w:pPr>
              <w:ind w:left="627" w:leftChars="100" w:hanging="417" w:hangingChars="149"/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外墙钢板采用静电喷涂（非施工现场）。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031" w:type="dxa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1875" w:type="dxa"/>
          </w:tcPr>
          <w:p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信号转接</w:t>
            </w:r>
          </w:p>
        </w:tc>
        <w:tc>
          <w:tcPr>
            <w:tcW w:w="1012" w:type="dxa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1套</w:t>
            </w:r>
          </w:p>
        </w:tc>
        <w:tc>
          <w:tcPr>
            <w:tcW w:w="6188" w:type="dxa"/>
          </w:tcPr>
          <w:p>
            <w:pPr>
              <w:ind w:left="627" w:leftChars="100" w:hanging="417" w:hangingChars="149"/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10通道信号转接器。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031" w:type="dxa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1875" w:type="dxa"/>
          </w:tcPr>
          <w:p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屏蔽材料</w:t>
            </w:r>
          </w:p>
        </w:tc>
        <w:tc>
          <w:tcPr>
            <w:tcW w:w="1012" w:type="dxa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1套</w:t>
            </w:r>
          </w:p>
        </w:tc>
        <w:tc>
          <w:tcPr>
            <w:tcW w:w="6188" w:type="dxa"/>
          </w:tcPr>
          <w:p>
            <w:pPr>
              <w:ind w:left="-103" w:leftChars="-49"/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采用120目铜网。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031" w:type="dxa"/>
          </w:tcPr>
          <w:p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16</w:t>
            </w:r>
          </w:p>
        </w:tc>
        <w:tc>
          <w:tcPr>
            <w:tcW w:w="1875" w:type="dxa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其它构件</w:t>
            </w:r>
          </w:p>
        </w:tc>
        <w:tc>
          <w:tcPr>
            <w:tcW w:w="1012" w:type="dxa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1套</w:t>
            </w:r>
          </w:p>
        </w:tc>
        <w:tc>
          <w:tcPr>
            <w:tcW w:w="6188" w:type="dxa"/>
          </w:tcPr>
          <w:p>
            <w:pPr>
              <w:ind w:left="627" w:leftChars="100" w:hanging="417" w:hangingChars="149"/>
              <w:jc w:val="center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预留接地线。</w:t>
            </w:r>
          </w:p>
        </w:tc>
      </w:tr>
    </w:tbl>
    <w:p>
      <w:pPr>
        <w:rPr>
          <w:rFonts w:hint="eastAsia" w:ascii="宋体" w:hAnsi="宋体" w:cs="宋体"/>
          <w:b/>
          <w:bCs/>
          <w:color w:val="000000"/>
          <w:sz w:val="24"/>
          <w:szCs w:val="24"/>
        </w:rPr>
      </w:pPr>
    </w:p>
    <w:p>
      <w:pPr>
        <w:rPr>
          <w:rFonts w:hint="eastAsia" w:ascii="宋体" w:hAnsi="宋体" w:cs="宋体"/>
          <w:b/>
          <w:bCs/>
          <w:color w:val="000000"/>
          <w:sz w:val="24"/>
          <w:szCs w:val="24"/>
        </w:rPr>
      </w:pPr>
    </w:p>
    <w:p>
      <w:pPr>
        <w:rPr>
          <w:rFonts w:hint="eastAsia" w:ascii="宋体" w:hAnsi="宋体" w:cs="宋体"/>
          <w:b/>
          <w:bCs/>
          <w:color w:val="000000"/>
          <w:sz w:val="24"/>
          <w:szCs w:val="24"/>
        </w:rPr>
      </w:pPr>
    </w:p>
    <w:p>
      <w:pPr>
        <w:rPr>
          <w:rFonts w:hint="eastAsia" w:ascii="宋体" w:hAnsi="宋体" w:cs="宋体"/>
          <w:b/>
          <w:bCs/>
          <w:color w:val="000000"/>
          <w:sz w:val="24"/>
          <w:szCs w:val="24"/>
        </w:rPr>
      </w:pPr>
    </w:p>
    <w:p>
      <w:pPr>
        <w:rPr>
          <w:rFonts w:hint="eastAsia" w:ascii="宋体" w:hAnsi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 xml:space="preserve"> </w:t>
      </w:r>
    </w:p>
    <w:p>
      <w:pPr>
        <w:rPr>
          <w:rFonts w:hint="eastAsia" w:ascii="宋体" w:hAnsi="宋体" w:cs="宋体"/>
          <w:b/>
          <w:bCs/>
          <w:color w:val="000000"/>
          <w:sz w:val="24"/>
          <w:szCs w:val="24"/>
        </w:rPr>
      </w:pPr>
    </w:p>
    <w:p>
      <w:pPr>
        <w:rPr>
          <w:rFonts w:hint="eastAsia" w:ascii="宋体" w:hAnsi="宋体" w:cs="宋体"/>
          <w:b/>
          <w:bCs/>
          <w:color w:val="000000"/>
          <w:sz w:val="24"/>
          <w:szCs w:val="24"/>
        </w:rPr>
      </w:pPr>
    </w:p>
    <w:p>
      <w:pPr>
        <w:rPr>
          <w:rFonts w:hint="eastAsia" w:ascii="宋体" w:hAnsi="宋体" w:eastAsia="宋体" w:cs="宋体"/>
          <w:b/>
          <w:bCs/>
          <w:color w:val="000000"/>
          <w:sz w:val="28"/>
          <w:szCs w:val="28"/>
          <w:lang w:eastAsia="zh-CN"/>
        </w:rPr>
      </w:pPr>
    </w:p>
    <w:p>
      <w:pPr>
        <w:rPr>
          <w:rFonts w:hint="eastAsia" w:ascii="宋体" w:hAnsi="宋体" w:eastAsia="宋体" w:cs="宋体"/>
          <w:b/>
          <w:bCs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eastAsia="zh-CN"/>
        </w:rPr>
        <w:drawing>
          <wp:inline distT="0" distB="0" distL="0" distR="0">
            <wp:extent cx="5012690" cy="3704590"/>
            <wp:effectExtent l="0" t="0" r="16510" b="10160"/>
            <wp:docPr id="1029" name="图片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图片 6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12690" cy="370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b/>
          <w:bCs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eastAsia="zh-CN"/>
        </w:rPr>
        <w:drawing>
          <wp:inline distT="0" distB="0" distL="0" distR="0">
            <wp:extent cx="4837430" cy="4061460"/>
            <wp:effectExtent l="0" t="0" r="1270" b="15240"/>
            <wp:docPr id="1030" name="图片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图片 7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37430" cy="406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="宋体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22B3B"/>
    <w:rsid w:val="37ED524F"/>
    <w:rsid w:val="4F07310D"/>
    <w:rsid w:val="56A106CF"/>
    <w:rsid w:val="67296467"/>
    <w:rsid w:val="79781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2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11"/>
    <w:basedOn w:val="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  <w:vertAlign w:val="superscript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7">
    <w:name w:val="font81"/>
    <w:basedOn w:val="4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8">
    <w:name w:val="font71"/>
    <w:basedOn w:val="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  <w:vertAlign w:val="superscript"/>
    </w:rPr>
  </w:style>
  <w:style w:type="character" w:customStyle="1" w:styleId="9">
    <w:name w:val="font41"/>
    <w:basedOn w:val="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2375</Words>
  <Characters>2604</Characters>
  <Paragraphs>263</Paragraphs>
  <TotalTime>150</TotalTime>
  <ScaleCrop>false</ScaleCrop>
  <LinksUpToDate>false</LinksUpToDate>
  <CharactersWithSpaces>2749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2018-03-02T06:22:00Z</dcterms:created>
  <dc:creator>『下个十字路口◢ぷ←左转</dc:creator>
  <cp:lastModifiedBy>昱风</cp:lastModifiedBy>
  <cp:lastPrinted>2022-03-09T04:08:00Z</cp:lastPrinted>
  <dcterms:modified xsi:type="dcterms:W3CDTF">2022-03-09T08:13:58Z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F4E76C49163C43A5B71542B9682EAE57</vt:lpwstr>
  </property>
</Properties>
</file>